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经济纠纷疑难案例研究</w:t>
      </w:r>
    </w:p>
    <w:p>
      <w:r>
        <w:rPr>
          <w:rFonts w:ascii="宋体" w:hAnsi="宋体" w:eastAsia="宋体"/>
          <w:sz w:val="24"/>
        </w:rPr>
        <w:t>沈关生主编；中国高级法官培训中心经济法教材编写组编写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经济纠纷疑难案例研究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沈关生主编；中国高级法官培训中心经济法教材编写组编写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本书出售、求购地址：https://www.jiaokey.com/book/detail/10995533.html</w:t>
      </w:r>
    </w:p>
    <w:p>
      <w:r>
        <w:t>更多相关图书推荐：https://www.jiaokey.com</w:t>
      </w:r>
    </w:p>
    <w:p>
      <w:r>
        <w:t>沈关生主编；中国高级法官培训中心经济法教材编写组编写 其他作品：https://www.jiaokey.com/tag/沈关生主编；中国高级法官培训中心经济法教材编写组编写.html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关键词搜索：https://www.jiaokey.com/tag/经济纠纷疑难案例研究.html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