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火乐概论  1950</w:t>
      </w:r>
    </w:p>
    <w:p>
      <w:r>
        <w:rPr>
          <w:rFonts w:ascii="宋体" w:hAnsi="宋体" w:eastAsia="宋体"/>
          <w:sz w:val="24"/>
        </w:rPr>
        <w:t>三菱镀业株式会社著；魏光嘉编译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火乐概论  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三菱镀业株式会社著；魏光嘉编译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东北有色金属学会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本书出售、求购地址：https://www.jiaokey.com/book/detail/10995356.html</w:t>
      </w:r>
    </w:p>
    <w:p>
      <w:r>
        <w:t>更多相关图书推荐：https://www.jiaokey.com</w:t>
      </w:r>
    </w:p>
    <w:p>
      <w:r>
        <w:t>三菱镀业株式会社著；魏光嘉编译 其他作品：https://www.jiaokey.com/tag/三菱镀业株式会社著；魏光嘉编译.html</w:t>
      </w:r>
    </w:p>
    <w:p>
      <w:r>
        <w:t>东北有色金属学会 出版图书：https://www.jiaokey.com/tag/东北有色金属学会.html</w:t>
      </w:r>
    </w:p>
    <w:p>
      <w:r>
        <w:t>关键词搜索：https://www.jiaokey.com/tag/火乐概论  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