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简写本</w:t>
      </w:r>
    </w:p>
    <w:p>
      <w:r>
        <w:rPr>
          <w:rFonts w:ascii="宋体" w:hAnsi="宋体" w:eastAsia="宋体"/>
          <w:sz w:val="24"/>
        </w:rPr>
        <w:t>（英）威·麦·撒克里（W.M. Thackeray）原著；伊夫林·阿特伍德编；孙静渊译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（英）威·麦·撒克里（W.M. Thackeray）原著；伊夫林·阿特伍德编；孙静渊译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本书出售、求购地址：https://www.jiaokey.com/book/detail/10993261.html</w:t>
      </w:r>
    </w:p>
    <w:p>
      <w:r>
        <w:t>更多相关图书推荐：https://www.jiaokey.com</w:t>
      </w:r>
    </w:p>
    <w:p>
      <w:r>
        <w:t>（英）威·麦·撒克里（W.M. Thackeray）原著；伊夫林·阿特伍德编；孙静渊译 其他作品：https://www.jiaokey.com/tag/（英）威·麦·撒克里（W.M. Thackeray）原著；伊夫林·阿特伍德编；孙静渊译.html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关键词搜索：https://www.jiaokey.com/tag/名利场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