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犯不着生气  反恼火战略</w:t>
      </w:r>
    </w:p>
    <w:p>
      <w:r>
        <w:rPr>
          <w:rFonts w:ascii="宋体" w:hAnsi="宋体" w:eastAsia="宋体"/>
          <w:sz w:val="24"/>
        </w:rPr>
        <w:t>（德）海德维希·克尔奈（Hedwig Kellner）著；柴方国译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犯不着生气  反恼火战略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（德）海德维希·克尔奈（Hedwig Kellner）著；柴方国译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本书出售、求购地址：https://www.jiaokey.com/book/detail/10989200.html</w:t>
      </w:r>
    </w:p>
    <w:p>
      <w:r>
        <w:t>更多相关图书推荐：https://www.jiaokey.com</w:t>
      </w:r>
    </w:p>
    <w:p>
      <w:r>
        <w:t>（德）海德维希·克尔奈（Hedwig Kellner）著；柴方国译 其他作品：https://www.jiaokey.com/tag/（德）海德维希·克尔奈（Hedwig Kellner）著；柴方国译.html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关键词搜索：https://www.jiaokey.com/tag/犯不着生气  反恼火战略.html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