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地下采矿中的漏口装矿</w:t>
      </w:r>
    </w:p>
    <w:p>
      <w:r>
        <w:rPr>
          <w:rFonts w:ascii="宋体" w:hAnsi="宋体" w:eastAsia="宋体"/>
          <w:sz w:val="24"/>
        </w:rPr>
        <w:t>（苏）巴隆，Л.И.，（苏）西莫年.Е.А.合著；张玉清译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地下采矿中的漏口装矿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（苏）巴隆，Л.И.，（苏）西莫年.Е.А.合著；张玉清译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本书出售、求购地址：https://www.jiaokey.com/book/detail/10987311.html</w:t>
      </w:r>
    </w:p>
    <w:p>
      <w:r>
        <w:t>更多相关图书推荐：https://www.jiaokey.com</w:t>
      </w:r>
    </w:p>
    <w:p>
      <w:r>
        <w:t>（苏）巴隆，Л.И.，（苏）西莫年.Е.А.合著；张玉清译 其他作品：https://www.jiaokey.com/tag/（苏）巴隆，Л.И.，（苏）西莫年.Е.А.合著；张玉清译.html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关键词搜索：https://www.jiaokey.com/tag/地下采矿中的漏口装矿.html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