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开展QC小组活动的基本</w:t>
      </w:r>
    </w:p>
    <w:p>
      <w:r>
        <w:rPr>
          <w:rFonts w:ascii="宋体" w:hAnsi="宋体" w:eastAsia="宋体"/>
          <w:sz w:val="24"/>
        </w:rPr>
        <w:t>日本科学技术联盟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开展QC小组活动的基本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日本科学技术联盟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天津市第二机械工业局情报站标准化室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本书出售、求购地址：https://www.jiaokey.com/book/detail/10986084.html</w:t>
      </w:r>
    </w:p>
    <w:p>
      <w:r>
        <w:t>更多相关图书推荐：https://www.jiaokey.com</w:t>
      </w:r>
    </w:p>
    <w:p>
      <w:r>
        <w:t>日本科学技术联盟 其他作品：https://www.jiaokey.com/tag/日本科学技术联盟.html</w:t>
      </w:r>
    </w:p>
    <w:p>
      <w:r>
        <w:t>天津市第二机械工业局情报站标准化室 出版图书：https://www.jiaokey.com/tag/天津市第二机械工业局情报站标准化室.html</w:t>
      </w:r>
    </w:p>
    <w:p>
      <w:r>
        <w:t>关键词搜索：https://www.jiaokey.com/tag/开展QC小组活动的基本.html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