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个体工商业经营管理指南</w:t>
      </w:r>
    </w:p>
    <w:p>
      <w:r>
        <w:rPr>
          <w:rFonts w:ascii="宋体" w:hAnsi="宋体" w:eastAsia="宋体"/>
          <w:sz w:val="24"/>
        </w:rPr>
        <w:t>王常在 劳而逸 林振淦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个体工商业经营管理指南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王常在 劳而逸 林振淦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本书出售、求购地址：https://www.jiaokey.com/book/detail/10985886.html</w:t>
      </w:r>
    </w:p>
    <w:p>
      <w:r>
        <w:t>更多相关图书推荐：https://www.jiaokey.com</w:t>
      </w:r>
    </w:p>
    <w:p>
      <w:r>
        <w:t>王常在 劳而逸 林振淦 其他作品：https://www.jiaokey.com/tag/王常在 劳而逸 林振淦.html</w:t>
      </w:r>
    </w:p>
    <w:p>
      <w:r>
        <w:t>关键词搜索：https://www.jiaokey.com/tag/个体工商业经营管理指南.html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