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现行民事诉讼法司法解释</w:t>
      </w:r>
    </w:p>
    <w:p>
      <w:r>
        <w:rPr>
          <w:rFonts w:ascii="宋体" w:hAnsi="宋体" w:eastAsia="宋体"/>
          <w:sz w:val="24"/>
        </w:rPr>
        <w:t>《现行民事诉讼法司法解释》编写组编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现行民事诉讼法司法解释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《现行民事诉讼法司法解释》编写组编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本书出售、求购地址：https://www.jiaokey.com/book/detail/10983635.html</w:t>
      </w:r>
    </w:p>
    <w:p>
      <w:r>
        <w:t>更多相关图书推荐：https://www.jiaokey.com</w:t>
      </w:r>
    </w:p>
    <w:p>
      <w:r>
        <w:t>《现行民事诉讼法司法解释》编写组编 其他作品：https://www.jiaokey.com/tag/《现行民事诉讼法司法解释》编写组编.html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关键词搜索：https://www.jiaokey.com/tag/现行民事诉讼法司法解释.html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