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民间创作</w:t>
      </w:r>
    </w:p>
    <w:p>
      <w:r>
        <w:rPr>
          <w:rFonts w:ascii="宋体" w:hAnsi="宋体" w:eastAsia="宋体"/>
          <w:sz w:val="24"/>
        </w:rPr>
        <w:t>（苏）奇乞罗夫（И.В.Чичеров）等著；沈笠，蔡时济译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（苏）奇乞罗夫（И.В.Чичеров）等著；沈笠，蔡时济译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本书出售、求购地址：https://www.jiaokey.com/book/detail/10982691.html</w:t>
      </w:r>
    </w:p>
    <w:p>
      <w:r>
        <w:t>更多相关图书推荐：https://www.jiaokey.com</w:t>
      </w:r>
    </w:p>
    <w:p>
      <w:r>
        <w:t>（苏）奇乞罗夫（И.В.Чичеров）等著；沈笠，蔡时济译 其他作品：https://www.jiaokey.com/tag/（苏）奇乞罗夫（И.В.Чичеров）等著；沈笠，蔡时济译.html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关键词搜索：https://www.jiaokey.com/tag/民间创作.html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