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伊犁河鱼类资源及渔业</w:t>
      </w:r>
    </w:p>
    <w:p>
      <w:r>
        <w:rPr>
          <w:rFonts w:ascii="宋体" w:hAnsi="宋体" w:eastAsia="宋体"/>
          <w:sz w:val="24"/>
        </w:rPr>
        <w:t>任慕莲，郭焱，张清礼，张人铭，李红，阿达克，蔡林刚，永卫东，任波，高宏，邓贵忠著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伊犁河鱼类资源及渔业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任慕莲，郭焱，张清礼，张人铭，李红，阿达克，蔡林刚，永卫东，任波，高宏，邓贵忠著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本书出售、求购地址：https://www.jiaokey.com/book/detail/10981862.html</w:t>
      </w:r>
    </w:p>
    <w:p>
      <w:r>
        <w:t>更多相关图书推荐：https://www.jiaokey.com</w:t>
      </w:r>
    </w:p>
    <w:p>
      <w:r>
        <w:t>任慕莲，郭焱，张清礼，张人铭，李红，阿达克，蔡林刚，永卫东，任波，高宏，邓贵忠著 其他作品：https://www.jiaokey.com/tag/任慕莲，郭焱，张清礼，张人铭，李红，阿达克，蔡林刚，永卫东，任波，高宏，邓贵忠著.html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关键词搜索：https://www.jiaokey.com/tag/伊犁河鱼类资源及渔业.html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