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外军武器装备现状及趋势</w:t>
      </w:r>
    </w:p>
    <w:p>
      <w:r>
        <w:rPr>
          <w:rFonts w:ascii="宋体" w:hAnsi="宋体" w:eastAsia="宋体"/>
          <w:sz w:val="24"/>
        </w:rPr>
        <w:t>国防科工委情报研究所编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外军武器装备现状及趋势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国防科工委情报研究所编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本书出售、求购地址：https://www.jiaokey.com/book/detail/10966255.html</w:t>
      </w:r>
    </w:p>
    <w:p>
      <w:r>
        <w:t>更多相关图书推荐：https://www.jiaokey.com</w:t>
      </w:r>
    </w:p>
    <w:p>
      <w:r>
        <w:t>国防科工委情报研究所编 其他作品：https://www.jiaokey.com/tag/国防科工委情报研究所编.html</w:t>
      </w:r>
    </w:p>
    <w:p>
      <w:r>
        <w:t>关键词搜索：https://www.jiaokey.com/tag/外军武器装备现状及趋势.html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