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HAL用户手册 应用Lotus自然语言接口程序 使1-2-3更易操作 功能更强</w:t>
      </w:r>
    </w:p>
    <w:p>
      <w:r>
        <w:rPr>
          <w:rFonts w:ascii="宋体" w:hAnsi="宋体" w:eastAsia="宋体"/>
          <w:sz w:val="24"/>
        </w:rPr>
        <w:t>钟扬，杨鹏译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HAL用户手册 应用Lotus自然语言接口程序 使1-2-3更易操作 功能更强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钟扬，杨鹏译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本书出售、求购地址：https://www.jiaokey.com/book/detail/10963170.html</w:t>
      </w:r>
    </w:p>
    <w:p>
      <w:r>
        <w:t>更多相关图书推荐：https://www.jiaokey.com</w:t>
      </w:r>
    </w:p>
    <w:p>
      <w:r>
        <w:t>钟扬，杨鹏译 其他作品：https://www.jiaokey.com/tag/钟扬，杨鹏译.html</w:t>
      </w:r>
    </w:p>
    <w:p>
      <w:r>
        <w:t>北京科海培训中心 出版图书：https://www.jiaokey.com/tag/北京科海培训中心.html</w:t>
      </w:r>
    </w:p>
    <w:p>
      <w:r>
        <w:t>关键词搜索：https://www.jiaokey.com/tag/HAL用户手册 应用Lotus自然语言接口程序 使1-2-3更易操作 功能更强.html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