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污水综合排放标准详解</w:t>
      </w:r>
    </w:p>
    <w:p>
      <w:r>
        <w:rPr>
          <w:rFonts w:ascii="宋体" w:hAnsi="宋体" w:eastAsia="宋体"/>
          <w:sz w:val="24"/>
        </w:rPr>
        <w:t>陆昌淼  马世豪等编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污水综合排放标准详解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陆昌淼  马世豪等编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本书出售、求购地址：https://www.jiaokey.com/book/detail/10956970.html</w:t>
      </w:r>
    </w:p>
    <w:p>
      <w:r>
        <w:t>更多相关图书推荐：https://www.jiaokey.com</w:t>
      </w:r>
    </w:p>
    <w:p>
      <w:r>
        <w:t>陆昌淼  马世豪等编 其他作品：https://www.jiaokey.com/tag/陆昌淼  马世豪等编.html</w:t>
      </w:r>
    </w:p>
    <w:p>
      <w:r>
        <w:t>关键词搜索：https://www.jiaokey.com/tag/污水综合排放标准详解.html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