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铁路工程概算指标  第2册  桥梁、涵洞工程  下</w:t>
      </w:r>
    </w:p>
    <w:p>
      <w:r>
        <w:rPr>
          <w:rFonts w:ascii="宋体" w:hAnsi="宋体" w:eastAsia="宋体"/>
          <w:sz w:val="24"/>
        </w:rPr>
        <w:t>铁道部大桥工程局主编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铁路工程概算指标  第2册  桥梁、涵洞工程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本书出售、求购地址：https://www.jiaokey.com/book/detail/10956636.html</w:t>
      </w:r>
    </w:p>
    <w:p>
      <w:r>
        <w:t>更多相关图书推荐：https://www.jiaokey.com</w:t>
      </w:r>
    </w:p>
    <w:p>
      <w:r>
        <w:t>铁道部大桥工程局主编 其他作品：https://www.jiaokey.com/tag/铁道部大桥工程局主编.html</w:t>
      </w:r>
    </w:p>
    <w:p>
      <w:r>
        <w:t>能源出版社 出版图书：https://www.jiaokey.com/tag/能源出版社.html</w:t>
      </w:r>
    </w:p>
    <w:p>
      <w:r>
        <w:t>关键词搜索：https://www.jiaokey.com/tag/铁路工程概算指标  第2册  桥梁、涵洞工程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