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矿井井底车场的设计与施工</w:t>
      </w:r>
    </w:p>
    <w:p>
      <w:r>
        <w:rPr>
          <w:rFonts w:ascii="宋体" w:hAnsi="宋体" w:eastAsia="宋体"/>
          <w:sz w:val="24"/>
        </w:rPr>
        <w:t>（苏）Я·И·丘丘尼克（Я.И.Тютюник）等著；王石民，尉振民译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矿井井底车场的设计与施工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（苏）Я·И·丘丘尼克（Я.И.Тютюник）等著；王石民，尉振民译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本书出售、求购地址：https://www.jiaokey.com/book/detail/10953162.html</w:t>
      </w:r>
    </w:p>
    <w:p>
      <w:r>
        <w:t>更多相关图书推荐：https://www.jiaokey.com</w:t>
      </w:r>
    </w:p>
    <w:p>
      <w:r>
        <w:t>（苏）Я·И·丘丘尼克（Я.И.Тютюник）等著；王石民，尉振民译 其他作品：https://www.jiaokey.com/tag/（苏）Я·И·丘丘尼克（Я.И.Тютюник）等著；王石民，尉振民译.html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关键词搜索：https://www.jiaokey.com/tag/矿井井底车场的设计与施工.html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