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  地区  钢铁工业节能  政策、措施、技术经济指标</w:t>
      </w:r>
    </w:p>
    <w:p>
      <w:r>
        <w:rPr>
          <w:rFonts w:ascii="宋体" w:hAnsi="宋体" w:eastAsia="宋体"/>
          <w:sz w:val="24"/>
        </w:rPr>
        <w:t>冶金部能源办公室，冶金部情报标准研究总所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  地区  钢铁工业节能  政策、措施、技术经济指标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冶金部能源办公室，冶金部情报标准研究总所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本书出售、求购地址：https://www.jiaokey.com/book/detail/10953149.html</w:t>
      </w:r>
    </w:p>
    <w:p>
      <w:r>
        <w:t>更多相关图书推荐：https://www.jiaokey.com</w:t>
      </w:r>
    </w:p>
    <w:p>
      <w:r>
        <w:t>冶金部能源办公室，冶金部情报标准研究总所 其他作品：https://www.jiaokey.com/tag/冶金部能源办公室，冶金部情报标准研究总所.html</w:t>
      </w:r>
    </w:p>
    <w:p>
      <w:r>
        <w:t>关键词搜索：https://www.jiaokey.com/tag/十国  地区  钢铁工业节能  政策、措施、技术经济指标.html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