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新刑法及司法解释适用指南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新刑法及司法解释适用指南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本书出售、求购地址：https://www.jiaokey.com/book/detail/10950183.html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关键词搜索：https://www.jiaokey.com/tag/新刑法及司法解释适用指南.html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