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压力容器结构规范解释</w:t>
      </w:r>
    </w:p>
    <w:p>
      <w:r>
        <w:rPr>
          <w:rFonts w:ascii="宋体" w:hAnsi="宋体" w:eastAsia="宋体"/>
          <w:sz w:val="24"/>
        </w:rPr>
        <w:t>（日）劳动省安全卫生部安全课编；傅良，汤德铭，韩伟基译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压力容器结构规范解释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（日）劳动省安全卫生部安全课编；傅良，汤德铭，韩伟基译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劳动人事部锅炉压力容器检测中心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本书出售、求购地址：https://www.jiaokey.com/book/detail/10949392.html</w:t>
      </w:r>
    </w:p>
    <w:p>
      <w:r>
        <w:t>更多相关图书推荐：https://www.jiaokey.com</w:t>
      </w:r>
    </w:p>
    <w:p>
      <w:r>
        <w:t>（日）劳动省安全卫生部安全课编；傅良，汤德铭，韩伟基译 其他作品：https://www.jiaokey.com/tag/（日）劳动省安全卫生部安全课编；傅良，汤德铭，韩伟基译.html</w:t>
      </w:r>
    </w:p>
    <w:p>
      <w:r>
        <w:t>劳动人事部锅炉压力容器检测中心 出版图书：https://www.jiaokey.com/tag/劳动人事部锅炉压力容器检测中心.html</w:t>
      </w:r>
    </w:p>
    <w:p>
      <w:r>
        <w:t>关键词搜索：https://www.jiaokey.com/tag/压力容器结构规范解释.html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