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界面活性剂应用实务</w:t>
      </w:r>
    </w:p>
    <w:p>
      <w:r>
        <w:rPr>
          <w:rFonts w:ascii="宋体" w:hAnsi="宋体" w:eastAsia="宋体"/>
          <w:sz w:val="24"/>
        </w:rPr>
        <w:t>（日）北原文雄，玉井康滕，早野茂夫等编；赖耿阳译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界面活性剂应用实务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（日）北原文雄，玉井康滕，早野茂夫等编；赖耿阳译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本书出售、求购地址：https://www.jiaokey.com/book/detail/10947824.html</w:t>
      </w:r>
    </w:p>
    <w:p>
      <w:r>
        <w:t>更多相关图书推荐：https://www.jiaokey.com</w:t>
      </w:r>
    </w:p>
    <w:p>
      <w:r>
        <w:t>（日）北原文雄，玉井康滕，早野茂夫等编；赖耿阳译 其他作品：https://www.jiaokey.com/tag/（日）北原文雄，玉井康滕，早野茂夫等编；赖耿阳译.html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关键词搜索：https://www.jiaokey.com/tag/界面活性剂应用实务.html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