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现代农业机械化技术</w:t>
      </w:r>
    </w:p>
    <w:p>
      <w:r>
        <w:rPr>
          <w:rFonts w:ascii="宋体" w:hAnsi="宋体" w:eastAsia="宋体"/>
          <w:sz w:val="24"/>
        </w:rPr>
        <w:t>（联邦德国）文内尔（Wenner，H.L.）等著；《现代农业机械化技术》翻译组译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现代农业机械化技术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（联邦德国）文内尔（Wenner，H.L.）等著；《现代农业机械化技术》翻译组译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本书出售、求购地址：https://www.jiaokey.com/book/detail/10946672.html</w:t>
      </w:r>
    </w:p>
    <w:p>
      <w:r>
        <w:t>更多相关图书推荐：https://www.jiaokey.com</w:t>
      </w:r>
    </w:p>
    <w:p>
      <w:r>
        <w:t>（联邦德国）文内尔（Wenner，H.L.）等著；《现代农业机械化技术》翻译组译 其他作品：https://www.jiaokey.com/tag/（联邦德国）文内尔（Wenner，H.L.）等著；《现代农业机械化技术》翻译组译.html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关键词搜索：https://www.jiaokey.com/tag/现代农业机械化技术.html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