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米丘林学说的哲学和自然科学前提</w:t>
      </w:r>
    </w:p>
    <w:p>
      <w:r>
        <w:rPr>
          <w:rFonts w:ascii="宋体" w:hAnsi="宋体" w:eastAsia="宋体"/>
          <w:sz w:val="24"/>
        </w:rPr>
        <w:t>（苏）杜布罗赫瓦洛夫（В.Л.Доброхвадов）著；罗见龙译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米丘林学说的哲学和自然科学前提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（苏）杜布罗赫瓦洛夫（В.Л.Доброхвадов）著；罗见龙译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本书出售、求购地址：https://www.jiaokey.com/book/detail/10945445.html</w:t>
      </w:r>
    </w:p>
    <w:p>
      <w:r>
        <w:t>更多相关图书推荐：https://www.jiaokey.com</w:t>
      </w:r>
    </w:p>
    <w:p>
      <w:r>
        <w:t>（苏）杜布罗赫瓦洛夫（В.Л.Доброхвадов）著；罗见龙译 其他作品：https://www.jiaokey.com/tag/（苏）杜布罗赫瓦洛夫（В.Л.Доброхвадов）著；罗见龙译.html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关键词搜索：https://www.jiaokey.com/tag/米丘林学说的哲学和自然科学前提.html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