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水体颗粒物和难降解有机物的特性与控制技术原理  上卷，水体颗粒物</w:t>
      </w:r>
    </w:p>
    <w:p>
      <w:r>
        <w:rPr>
          <w:rFonts w:ascii="宋体" w:hAnsi="宋体" w:eastAsia="宋体"/>
          <w:sz w:val="24"/>
        </w:rPr>
        <w:t>汤鸿霄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水体颗粒物和难降解有机物的特性与控制技术原理  上卷，水体颗粒物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汤鸿霄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本书出售、求购地址：https://www.jiaokey.com/book/detail/10940408.html</w:t>
      </w:r>
    </w:p>
    <w:p>
      <w:r>
        <w:t>更多相关图书推荐：https://www.jiaokey.com</w:t>
      </w:r>
    </w:p>
    <w:p>
      <w:r>
        <w:t>汤鸿霄 其他作品：https://www.jiaokey.com/tag/汤鸿霄.html</w:t>
      </w:r>
    </w:p>
    <w:p>
      <w:r>
        <w:t>关键词搜索：https://www.jiaokey.com/tag/水体颗粒物和难降解有机物的特性与控制技术原理  上卷，水体颗粒物.html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