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如死一般强  第1种</w:t>
      </w:r>
    </w:p>
    <w:p>
      <w:r>
        <w:rPr>
          <w:rFonts w:ascii="宋体" w:hAnsi="宋体" w:eastAsia="宋体"/>
          <w:sz w:val="24"/>
        </w:rPr>
        <w:t>（法国）G·D·莫泊桑著；索夫译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如死一般强  第1种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（法国）G·D·莫泊桑著；索夫译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本书出售、求购地址：https://www.jiaokey.com/book/detail/10938705.html</w:t>
      </w:r>
    </w:p>
    <w:p>
      <w:r>
        <w:t>更多相关图书推荐：https://www.jiaokey.com</w:t>
      </w:r>
    </w:p>
    <w:p>
      <w:r>
        <w:t>（法国）G·D·莫泊桑著；索夫译 其他作品：https://www.jiaokey.com/tag/（法国）G·D·莫泊桑著；索夫译.html</w:t>
      </w:r>
    </w:p>
    <w:p>
      <w:r>
        <w:t>国际文化服务社 出版图书：https://www.jiaokey.com/tag/国际文化服务社.html</w:t>
      </w:r>
    </w:p>
    <w:p>
      <w:r>
        <w:t>关键词搜索：https://www.jiaokey.com/tag/如死一般强  第1种.html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