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论网络经济对中国证券业的影响与对策·论网络经济对中国证券业的影响与对策</w:t>
      </w:r>
    </w:p>
    <w:p>
      <w:r>
        <w:rPr>
          <w:rFonts w:ascii="宋体" w:hAnsi="宋体" w:eastAsia="宋体"/>
          <w:sz w:val="24"/>
        </w:rPr>
        <w:t>钟若愚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论网络经济对中国证券业的影响与对策·论网络经济对中国证券业的影响与对策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本书出售、求购地址：https://www.jiaokey.com/book/detail/10927936.html</w:t>
      </w:r>
    </w:p>
    <w:p>
      <w:r>
        <w:t>更多相关图书推荐：https://www.jiaokey.com</w:t>
      </w:r>
    </w:p>
    <w:p>
      <w:r>
        <w:t>钟若愚 其他作品：https://www.jiaokey.com/tag/钟若愚.html</w:t>
      </w:r>
    </w:p>
    <w:p>
      <w:r>
        <w:t>关键词搜索：https://www.jiaokey.com/tag/论网络经济对中国证券业的影响与对策·论网络经济对中国证券业的影响与对策.html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