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立法角色之研究——桃园县议会第八届县议员角色倾向之分析</w:t>
      </w:r>
    </w:p>
    <w:p>
      <w:r>
        <w:rPr>
          <w:rFonts w:ascii="宋体" w:hAnsi="宋体" w:eastAsia="宋体"/>
          <w:sz w:val="24"/>
        </w:rPr>
        <w:t>李麟添著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立法角色之研究——桃园县议会第八届县议员角色倾向之分析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本书出售、求购地址：https://www.jiaokey.com/book/detail/10916615.html</w:t>
      </w:r>
    </w:p>
    <w:p>
      <w:r>
        <w:t>更多相关图书推荐：https://www.jiaokey.com</w:t>
      </w:r>
    </w:p>
    <w:p>
      <w:r>
        <w:t>李麟添著 其他作品：https://www.jiaokey.com/tag/李麟添著.html</w:t>
      </w:r>
    </w:p>
    <w:p>
      <w:r>
        <w:t>关键词搜索：https://www.jiaokey.com/tag/立法角色之研究——桃园县议会第八届县议员角色倾向之分析.html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