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铸件尺寸公差标准应用指南</w:t>
      </w:r>
    </w:p>
    <w:p>
      <w:r>
        <w:rPr>
          <w:rFonts w:ascii="宋体" w:hAnsi="宋体" w:eastAsia="宋体"/>
          <w:sz w:val="24"/>
        </w:rPr>
        <w:t>宋忠明  葛晨光编著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铸件尺寸公差标准应用指南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宋忠明  葛晨光编著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本书出售、求购地址：https://www.jiaokey.com/book/detail/10914136.html</w:t>
      </w:r>
    </w:p>
    <w:p>
      <w:r>
        <w:t>更多相关图书推荐：https://www.jiaokey.com</w:t>
      </w:r>
    </w:p>
    <w:p>
      <w:r>
        <w:t>宋忠明  葛晨光编著 其他作品：https://www.jiaokey.com/tag/宋忠明  葛晨光编著.html</w:t>
      </w:r>
    </w:p>
    <w:p>
      <w:r>
        <w:t>关键词搜索：https://www.jiaokey.com/tag/铸件尺寸公差标准应用指南.html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