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罗马法·中国法与民法法典化  物权和债权之研究</w:t>
      </w:r>
    </w:p>
    <w:p>
      <w:r>
        <w:rPr>
          <w:rFonts w:ascii="宋体" w:hAnsi="宋体" w:eastAsia="宋体"/>
          <w:sz w:val="24"/>
        </w:rPr>
        <w:t>杨振山，（意）桑德罗·斯奇巴尼（SandroSchipani）主编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罗马法·中国法与民法法典化  物权和债权之研究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杨振山，（意）桑德罗·斯奇巴尼（SandroSchipani）主编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本书出售、求购地址：https://www.jiaokey.com/book/detail/10913782.html</w:t>
      </w:r>
    </w:p>
    <w:p>
      <w:r>
        <w:t>更多相关图书推荐：https://www.jiaokey.com</w:t>
      </w:r>
    </w:p>
    <w:p>
      <w:r>
        <w:t>杨振山，（意）桑德罗·斯奇巴尼（SandroSchipani）主编 其他作品：https://www.jiaokey.com/tag/杨振山，（意）桑德罗·斯奇巴尼（SandroSchipani）主编.html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关键词搜索：https://www.jiaokey.com/tag/罗马法·中国法与民法法典化  物权和债权之研究.html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