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印度人民民族解放斗争新阶段</w:t>
      </w:r>
    </w:p>
    <w:p>
      <w:r>
        <w:rPr>
          <w:rFonts w:ascii="宋体" w:hAnsi="宋体" w:eastAsia="宋体"/>
          <w:sz w:val="24"/>
        </w:rPr>
        <w:t>（苏）巴拉布什维奇等撰；何疆等译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印度人民民族解放斗争新阶段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（苏）巴拉布什维奇等撰；何疆等译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本书出售、求购地址：https://www.jiaokey.com/book/detail/10911919.html</w:t>
      </w:r>
    </w:p>
    <w:p>
      <w:r>
        <w:t>更多相关图书推荐：https://www.jiaokey.com</w:t>
      </w:r>
    </w:p>
    <w:p>
      <w:r>
        <w:t>（苏）巴拉布什维奇等撰；何疆等译 其他作品：https://www.jiaokey.com/tag/（苏）巴拉布什维奇等撰；何疆等译.html</w:t>
      </w:r>
    </w:p>
    <w:p>
      <w:r>
        <w:t>新华书店 出版图书：https://www.jiaokey.com/tag/新华书店.html</w:t>
      </w:r>
    </w:p>
    <w:p>
      <w:r>
        <w:t>关键词搜索：https://www.jiaokey.com/tag/印度人民民族解放斗争新阶段.html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