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分配  交换  消费</w:t>
      </w:r>
    </w:p>
    <w:p>
      <w:r>
        <w:rPr>
          <w:rFonts w:ascii="宋体" w:hAnsi="宋体" w:eastAsia="宋体"/>
          <w:sz w:val="24"/>
        </w:rPr>
        <w:t>（苏）科兹洛夫（Г.В.Козлов）等著；刘放桐等译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分配  交换  消费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（苏）科兹洛夫（Г.В.Козлов）等著；刘放桐等译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 分配(经济) 商品交换 消费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本书出售、求购地址：https://www.jiaokey.com/book/detail/10911683.html</w:t>
      </w:r>
    </w:p>
    <w:p>
      <w:r>
        <w:t>更多相关图书推荐：https://www.jiaokey.com</w:t>
      </w:r>
    </w:p>
    <w:p>
      <w:r>
        <w:t>（苏）科兹洛夫（Г.В.Козлов）等著；刘放桐等译 其他作品：https://www.jiaokey.com/tag/（苏）科兹洛夫（Г.В.Козлов）等著；刘放桐等译.html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关键词搜索：https://www.jiaokey.com/tag/生产 分配(经济) 商品交换 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