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农奴制度</w:t>
      </w:r>
    </w:p>
    <w:p>
      <w:r>
        <w:rPr>
          <w:rFonts w:ascii="宋体" w:hAnsi="宋体" w:eastAsia="宋体"/>
          <w:sz w:val="24"/>
        </w:rPr>
        <w:t>（苏）诺维茨基，刘询岳，（苏）萨伊奥奇科夫斯基（Зайончковский，П.А.）著；陈书声译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（苏）诺维茨基，刘询岳，（苏）萨伊奥奇科夫斯基（Зайончковский，П.А.）著；陈书声译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本书出售、求购地址：https://www.jiaokey.com/book/detail/10911675.html</w:t>
      </w:r>
    </w:p>
    <w:p>
      <w:r>
        <w:t>更多相关图书推荐：https://www.jiaokey.com</w:t>
      </w:r>
    </w:p>
    <w:p>
      <w:r>
        <w:t>（苏）诺维茨基，刘询岳，（苏）萨伊奥奇科夫斯基（Зайончковский，П.А.）著；陈书声译 其他作品：https://www.jiaokey.com/tag/（苏）诺维茨基，刘询岳，（苏）萨伊奥奇科夫斯基（Зайончковский，П.А.）著；陈书声译.html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