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第二次世界大战后的土地改革</w:t>
      </w:r>
    </w:p>
    <w:p>
      <w:r>
        <w:rPr>
          <w:rFonts w:ascii="宋体" w:hAnsi="宋体" w:eastAsia="宋体"/>
          <w:sz w:val="24"/>
        </w:rPr>
        <w:t>（苏）瓦岗诺夫（Н.А.Ваганов）等撰；张伯刚，郭一民译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第二次世界大战后的土地改革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（苏）瓦岗诺夫（Н.А.Ваганов）等撰；张伯刚，郭一民译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本书出售、求购地址：https://www.jiaokey.com/book/detail/10911663.html</w:t>
      </w:r>
    </w:p>
    <w:p>
      <w:r>
        <w:t>更多相关图书推荐：https://www.jiaokey.com</w:t>
      </w:r>
    </w:p>
    <w:p>
      <w:r>
        <w:t>（苏）瓦岗诺夫（Н.А.Ваганов）等撰；张伯刚，郭一民译 其他作品：https://www.jiaokey.com/tag/（苏）瓦岗诺夫（Н.А.Ваганов）等撰；张伯刚，郭一民译.html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关键词搜索：https://www.jiaokey.com/tag/第二次世界大战后的土地改革.html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