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钢结构、管道涂装工程技术规定  试行</w:t>
      </w:r>
    </w:p>
    <w:p>
      <w:r>
        <w:rPr>
          <w:rFonts w:ascii="宋体" w:hAnsi="宋体" w:eastAsia="宋体"/>
          <w:sz w:val="24"/>
        </w:rPr>
        <w:t>北京首钢设计院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钢结构、管道涂装工程技术规定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北京首钢设计院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本书出售、求购地址：https://www.jiaokey.com/book/detail/10904869.html</w:t>
      </w:r>
    </w:p>
    <w:p>
      <w:r>
        <w:t>更多相关图书推荐：https://www.jiaokey.com</w:t>
      </w:r>
    </w:p>
    <w:p>
      <w:r>
        <w:t>北京首钢设计院 其他作品：https://www.jiaokey.com/tag/北京首钢设计院.html</w:t>
      </w:r>
    </w:p>
    <w:p>
      <w:r>
        <w:t>关键词搜索：https://www.jiaokey.com/tag/钢结构、管道涂装工程技术规定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