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第16集  国内外结核病疫情、治疗、科研的水平和差距</w:t>
      </w:r>
    </w:p>
    <w:p>
      <w:r>
        <w:rPr>
          <w:rFonts w:ascii="宋体" w:hAnsi="宋体" w:eastAsia="宋体"/>
          <w:sz w:val="24"/>
        </w:rPr>
        <w:t>中国科协2000年的中国研究办公室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第16集  国内外结核病疫情、治疗、科研的水平和差距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本书出售、求购地址：https://www.jiaokey.com/book/detail/10903932.html</w:t>
      </w:r>
    </w:p>
    <w:p>
      <w:r>
        <w:t>更多相关图书推荐：https://www.jiaokey.com</w:t>
      </w:r>
    </w:p>
    <w:p>
      <w:r>
        <w:t>中国科协2000年的中国研究办公室 其他作品：https://www.jiaokey.com/tag/中国科协2000年的中国研究办公室.html</w:t>
      </w:r>
    </w:p>
    <w:p>
      <w:r>
        <w:t>关键词搜索：https://www.jiaokey.com/tag/2000年的中国研究资料  第16集  国内外结核病疫情、治疗、科研的水平和差距.html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