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国民经济有计划  按比例  发展的规律</w:t>
      </w:r>
    </w:p>
    <w:p>
      <w:r>
        <w:rPr>
          <w:rFonts w:ascii="宋体" w:hAnsi="宋体" w:eastAsia="宋体"/>
          <w:sz w:val="24"/>
        </w:rPr>
        <w:t>（苏）塞林斯基（И.Д.Ширинский）著；梅子译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国民经济有计划  按比例  发展的规律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（苏）塞林斯基（И.Д.Ширинский）著；梅子译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本书出售、求购地址：https://www.jiaokey.com/book/detail/10899617.html</w:t>
      </w:r>
    </w:p>
    <w:p>
      <w:r>
        <w:t>更多相关图书推荐：https://www.jiaokey.com</w:t>
      </w:r>
    </w:p>
    <w:p>
      <w:r>
        <w:t>（苏）塞林斯基（И.Д.Ширинский）著；梅子译 其他作品：https://www.jiaokey.com/tag/（苏）塞林斯基（И.Д.Ширинский）著；梅子译.html</w:t>
      </w:r>
    </w:p>
    <w:p>
      <w:r>
        <w:t>新知识出版社 出版图书：https://www.jiaokey.com/tag/新知识出版社.html</w:t>
      </w:r>
    </w:p>
    <w:p>
      <w:r>
        <w:t>关键词搜索：https://www.jiaokey.com/tag/国民经济有计划  按比例  发展的规律.html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