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苏联财政、信用和货币流通</w:t>
      </w:r>
    </w:p>
    <w:p>
      <w:r>
        <w:rPr>
          <w:rFonts w:ascii="宋体" w:hAnsi="宋体" w:eastAsia="宋体"/>
          <w:sz w:val="24"/>
        </w:rPr>
        <w:t>（苏）巴丘林（А.В.Бачурин）著；徐俊人，韩正文译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苏联财政、信用和货币流通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（苏）巴丘林（А.В.Бачурин）著；徐俊人，韩正文译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本书出售、求购地址：https://www.jiaokey.com/book/detail/10899199.html</w:t>
      </w:r>
    </w:p>
    <w:p>
      <w:r>
        <w:t>更多相关图书推荐：https://www.jiaokey.com</w:t>
      </w:r>
    </w:p>
    <w:p>
      <w:r>
        <w:t>（苏）巴丘林（А.В.Бачурин）著；徐俊人，韩正文译 其他作品：https://www.jiaokey.com/tag/（苏）巴丘林（А.В.Бачурин）著；徐俊人，韩正文译.html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关键词搜索：https://www.jiaokey.com/tag/苏联财政、信用和货币流通.html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