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实行每小时工作进度表</w:t>
      </w:r>
    </w:p>
    <w:p>
      <w:r>
        <w:rPr>
          <w:rFonts w:ascii="宋体" w:hAnsi="宋体" w:eastAsia="宋体"/>
          <w:sz w:val="24"/>
        </w:rPr>
        <w:t>（苏）赫莉沙诺娃（В.Хрисанова）撰；唐克译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实行每小时工作进度表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（苏）赫莉沙诺娃（В.Хрисанова）撰；唐克译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本书出售、求购地址：https://www.jiaokey.com/book/detail/10897556.html</w:t>
      </w:r>
    </w:p>
    <w:p>
      <w:r>
        <w:t>更多相关图书推荐：https://www.jiaokey.com</w:t>
      </w:r>
    </w:p>
    <w:p>
      <w:r>
        <w:t>（苏）赫莉沙诺娃（В.Хрисанова）撰；唐克译 其他作品：https://www.jiaokey.com/tag/（苏）赫莉沙诺娃（В.Хрисанова）撰；唐克译.html</w:t>
      </w:r>
    </w:p>
    <w:p>
      <w:r>
        <w:t>工人出版社 出版图书：https://www.jiaokey.com/tag/工人出版社.html</w:t>
      </w:r>
    </w:p>
    <w:p>
      <w:r>
        <w:t>关键词搜索：https://www.jiaokey.com/tag/实行每小时工作进度表.html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