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发明创造与合理化建议工作委员会的工作经验</w:t>
      </w:r>
    </w:p>
    <w:p>
      <w:r>
        <w:rPr>
          <w:rFonts w:ascii="宋体" w:hAnsi="宋体" w:eastAsia="宋体"/>
          <w:sz w:val="24"/>
        </w:rPr>
        <w:t>（苏）捷列恒（В.Терехин）著；邹宁译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发明创造与合理化建议工作委员会的工作经验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（苏）捷列恒（В.Терехин）著；邹宁译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本书出售、求购地址：https://www.jiaokey.com/book/detail/10896936.html</w:t>
      </w:r>
    </w:p>
    <w:p>
      <w:r>
        <w:t>更多相关图书推荐：https://www.jiaokey.com</w:t>
      </w:r>
    </w:p>
    <w:p>
      <w:r>
        <w:t>（苏）捷列恒（В.Терехин）著；邹宁译 其他作品：https://www.jiaokey.com/tag/（苏）捷列恒（В.Терехин）著；邹宁译.html</w:t>
      </w:r>
    </w:p>
    <w:p>
      <w:r>
        <w:t>工人出版社 出版图书：https://www.jiaokey.com/tag/工人出版社.html</w:t>
      </w:r>
    </w:p>
    <w:p>
      <w:r>
        <w:t>关键词搜索：https://www.jiaokey.com/tag/发明创造与合理化建议工作委员会的工作经验.html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