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快速炼钢法</w:t>
      </w:r>
    </w:p>
    <w:p>
      <w:r>
        <w:rPr>
          <w:rFonts w:ascii="宋体" w:hAnsi="宋体" w:eastAsia="宋体"/>
          <w:sz w:val="24"/>
        </w:rPr>
        <w:t>（苏）潘非洛夫（М.И.Панфилов）撰；马宾译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快速炼钢法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（苏）潘非洛夫（М.И.Панфилов）撰；马宾译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本书出售、求购地址：https://www.jiaokey.com/book/detail/10891407.html</w:t>
      </w:r>
    </w:p>
    <w:p>
      <w:r>
        <w:t>更多相关图书推荐：https://www.jiaokey.com</w:t>
      </w:r>
    </w:p>
    <w:p>
      <w:r>
        <w:t>（苏）潘非洛夫（М.И.Панфилов）撰；马宾译 其他作品：https://www.jiaokey.com/tag/（苏）潘非洛夫（М.И.Панфилов）撰；马宾译.html</w:t>
      </w:r>
    </w:p>
    <w:p>
      <w:r>
        <w:t>东北工业出版社 出版图书：https://www.jiaokey.com/tag/东北工业出版社.html</w:t>
      </w:r>
    </w:p>
    <w:p>
      <w:r>
        <w:t>关键词搜索：https://www.jiaokey.com/tag/快速炼钢法.html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