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联系人民是共产党力量的泉源</w:t>
      </w:r>
    </w:p>
    <w:p>
      <w:r>
        <w:rPr>
          <w:rFonts w:ascii="宋体" w:hAnsi="宋体" w:eastAsia="宋体"/>
          <w:sz w:val="24"/>
        </w:rPr>
        <w:t>（苏）波利索夫（Б.Борисов）著；俊庄译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联系人民是共产党力量的泉源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（苏）波利索夫（Б.Борисов）著；俊庄译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本书出售、求购地址：https://www.jiaokey.com/book/detail/10890287.html</w:t>
      </w:r>
    </w:p>
    <w:p>
      <w:r>
        <w:t>更多相关图书推荐：https://www.jiaokey.com</w:t>
      </w:r>
    </w:p>
    <w:p>
      <w:r>
        <w:t>（苏）波利索夫（Б.Борисов）著；俊庄译 其他作品：https://www.jiaokey.com/tag/（苏）波利索夫（Б.Борисов）著；俊庄译.html</w:t>
      </w:r>
    </w:p>
    <w:p>
      <w:r>
        <w:t>时代出版社 出版图书：https://www.jiaokey.com/tag/时代出版社.html</w:t>
      </w:r>
    </w:p>
    <w:p>
      <w:r>
        <w:t>关键词搜索：https://www.jiaokey.com/tag/联系人民是共产党力量的泉源.html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