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煤矿工业中的技术定额</w:t>
      </w:r>
    </w:p>
    <w:p>
      <w:r>
        <w:rPr>
          <w:rFonts w:ascii="宋体" w:hAnsi="宋体" w:eastAsia="宋体"/>
          <w:sz w:val="24"/>
        </w:rPr>
        <w:t>（苏）柯利察根（Н.В.Корчагин），（苏）尼柯里斯基（В.С.Никольский）撰；中央人民政府燃料工业部译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煤矿工业中的技术定额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（苏）柯利察根（Н.В.Корчагин），（苏）尼柯里斯基（В.С.Никольский）撰；中央人民政府燃料工业部译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本书出售、求购地址：https://www.jiaokey.com/book/detail/10888129.html</w:t>
      </w:r>
    </w:p>
    <w:p>
      <w:r>
        <w:t>更多相关图书推荐：https://www.jiaokey.com</w:t>
      </w:r>
    </w:p>
    <w:p>
      <w:r>
        <w:t>（苏）柯利察根（Н.В.Корчагин），（苏）尼柯里斯基（В.С.Никольский）撰；中央人民政府燃料工业部译 其他作品：https://www.jiaokey.com/tag/（苏）柯利察根（Н.В.Корчагин），（苏）尼柯里斯基（В.С.Никольский）撰；中央人民政府燃料工业部译.html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关键词搜索：https://www.jiaokey.com/tag/煤矿工业中的技术定额.html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