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金融经济开放手册  金融经济惯例与规则</w:t>
      </w:r>
    </w:p>
    <w:p>
      <w:r>
        <w:rPr>
          <w:rFonts w:ascii="宋体" w:hAnsi="宋体" w:eastAsia="宋体"/>
          <w:sz w:val="24"/>
        </w:rPr>
        <w:t>鸣曦，孙鸿基主编；《金融经济开放手册》编写组编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金融经济开放手册  金融经济惯例与规则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鸣曦，孙鸿基主编；《金融经济开放手册》编写组编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本书出售、求购地址：https://www.jiaokey.com/book/detail/10879410.html</w:t>
      </w:r>
    </w:p>
    <w:p>
      <w:r>
        <w:t>更多相关图书推荐：https://www.jiaokey.com</w:t>
      </w:r>
    </w:p>
    <w:p>
      <w:r>
        <w:t>鸣曦，孙鸿基主编；《金融经济开放手册》编写组编 其他作品：https://www.jiaokey.com/tag/鸣曦，孙鸿基主编；《金融经济开放手册》编写组编.html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关键词搜索：https://www.jiaokey.com/tag/金融经济开放手册  金融经济惯例与规则.html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