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涅·康·怀斯画风</w:t>
      </w:r>
    </w:p>
    <w:p>
      <w:r>
        <w:rPr>
          <w:rFonts w:ascii="宋体" w:hAnsi="宋体" w:eastAsia="宋体"/>
          <w:sz w:val="24"/>
        </w:rPr>
        <w:t>（英）惠斯勒，（美）涅·康·怀斯绘；田军等编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涅·康·怀斯画风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（英）惠斯勒，（美）涅·康·怀斯绘；田军等编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本书出售、求购地址：https://www.jiaokey.com/book/detail/10878169.html</w:t>
      </w:r>
    </w:p>
    <w:p>
      <w:r>
        <w:t>更多相关图书推荐：https://www.jiaokey.com</w:t>
      </w:r>
    </w:p>
    <w:p>
      <w:r>
        <w:t>（英）惠斯勒，（美）涅·康·怀斯绘；田军等编 其他作品：https://www.jiaokey.com/tag/（英）惠斯勒，（美）涅·康·怀斯绘；田军等编.html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关键词搜索：https://www.jiaokey.com/tag/涅·康·怀斯画风.html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