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格言宝藏论释  上下</w:t>
      </w:r>
    </w:p>
    <w:p>
      <w:r>
        <w:rPr>
          <w:rFonts w:ascii="宋体" w:hAnsi="宋体" w:eastAsia="宋体"/>
          <w:sz w:val="24"/>
        </w:rPr>
        <w:t>萨迦班智达造颂，索达吉堪布译释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格言宝藏论释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萨迦班智达造颂，索达吉堪布译释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澳门：澳门《天行健》出版社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本书出售、求购地址：https://www.jiaokey.com/book/detail/10871395.html</w:t>
      </w:r>
    </w:p>
    <w:p>
      <w:r>
        <w:t>更多相关图书推荐：https://www.jiaokey.com</w:t>
      </w:r>
    </w:p>
    <w:p>
      <w:r>
        <w:t>萨迦班智达造颂，索达吉堪布译释 其他作品：https://www.jiaokey.com/tag/萨迦班智达造颂，索达吉堪布译释.html</w:t>
      </w:r>
    </w:p>
    <w:p>
      <w:r>
        <w:t>澳门：澳门《天行健》出版社 出版图书：https://www.jiaokey.com/tag/澳门：澳门《天行健》出版社.html</w:t>
      </w:r>
    </w:p>
    <w:p>
      <w:r>
        <w:t>关键词搜索：https://www.jiaokey.com/tag/格言宝藏论释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