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信息之剑：信息时代获利要诀</w:t>
      </w:r>
    </w:p>
    <w:p>
      <w:r>
        <w:rPr>
          <w:rFonts w:ascii="宋体" w:hAnsi="宋体" w:eastAsia="宋体"/>
          <w:sz w:val="24"/>
        </w:rPr>
        <w:t>（美）弗里德曼等著 姚宏飞 罗荣春译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信息之剑：信息时代获利要诀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（美）弗里德曼等著 姚宏飞 罗荣春译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本书出售、求购地址：https://www.jiaokey.com/book/detail/10863789.html</w:t>
      </w:r>
    </w:p>
    <w:p>
      <w:r>
        <w:t>更多相关图书推荐：https://www.jiaokey.com</w:t>
      </w:r>
    </w:p>
    <w:p>
      <w:r>
        <w:t>（美）弗里德曼等著 姚宏飞 罗荣春译 其他作品：https://www.jiaokey.com/tag/（美）弗里德曼等著 姚宏飞 罗荣春译.html</w:t>
      </w:r>
    </w:p>
    <w:p>
      <w:r>
        <w:t>关键词搜索：https://www.jiaokey.com/tag/信息之剑：信息时代获利要诀.html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