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为创新投资  21世纪的创新战略</w:t>
      </w:r>
    </w:p>
    <w:p>
      <w:r>
        <w:rPr>
          <w:rFonts w:ascii="宋体" w:hAnsi="宋体" w:eastAsia="宋体"/>
          <w:sz w:val="24"/>
        </w:rPr>
        <w:t>（美）路易丝·伯兰斯卡姆（Lewis M.Branscomb），（美）杰姆斯·凯勒（James H.Keller）编著；陈向东译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为创新投资  21世纪的创新战略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（美）路易丝·伯兰斯卡姆（Lewis M.Branscomb），（美）杰姆斯·凯勒（James H.Keller）编著；陈向东译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本书出售、求购地址：https://www.jiaokey.com/book/detail/10863474.html</w:t>
      </w:r>
    </w:p>
    <w:p>
      <w:r>
        <w:t>更多相关图书推荐：https://www.jiaokey.com</w:t>
      </w:r>
    </w:p>
    <w:p>
      <w:r>
        <w:t>（美）路易丝·伯兰斯卡姆（Lewis M.Branscomb），（美）杰姆斯·凯勒（James H.Keller）编著；陈向东译 其他作品：https://www.jiaokey.com/tag/（美）路易丝·伯兰斯卡姆（Lewis M.Branscomb），（美）杰姆斯·凯勒（James H.Keller）编著；陈向东译.html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关键词搜索：https://www.jiaokey.com/tag/为创新投资  21世纪的创新战略.html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