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经济合作与发展组织成员国的税收政策  选择与冲突</w:t>
      </w:r>
    </w:p>
    <w:p>
      <w:r>
        <w:rPr>
          <w:rFonts w:ascii="宋体" w:hAnsi="宋体" w:eastAsia="宋体"/>
          <w:sz w:val="24"/>
        </w:rPr>
        <w:t>（欧）K·C·麦锡尔著；国家税务总局税收科学研究所译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经济合作与发展组织成员国的税收政策  选择与冲突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（欧）K·C·麦锡尔著；国家税务总局税收科学研究所译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本书出售、求购地址：https://www.jiaokey.com/book/detail/10862400.html</w:t>
      </w:r>
    </w:p>
    <w:p>
      <w:r>
        <w:t>更多相关图书推荐：https://www.jiaokey.com</w:t>
      </w:r>
    </w:p>
    <w:p>
      <w:r>
        <w:t>（欧）K·C·麦锡尔著；国家税务总局税收科学研究所译 其他作品：https://www.jiaokey.com/tag/（欧）K·C·麦锡尔著；国家税务总局税收科学研究所译.html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关键词搜索：https://www.jiaokey.com/tag/经济合作与发展组织成员国的税收政策  选择与冲突.html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