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5-1-4  中华民国712年度所得税税率条例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5-1-4  中华民国712年度所得税税率条例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本书出售、求购地址：https://www.jiaokey.com/book/detail/10859487.html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5-1-4  中华民国712年度所得税税率条例.html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