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中国科技货款管理体制研究</w:t>
      </w:r>
    </w:p>
    <w:p>
      <w:r>
        <w:rPr>
          <w:rFonts w:ascii="宋体" w:hAnsi="宋体" w:eastAsia="宋体"/>
          <w:sz w:val="24"/>
        </w:rPr>
        <w:t>夏斌，洪崎执笔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中国科技货款管理体制研究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夏斌，洪崎执笔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中国人民银行金融研究所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本书出售、求购地址：https://www.jiaokey.com/book/detail/10858198.html</w:t>
      </w:r>
    </w:p>
    <w:p>
      <w:r>
        <w:t>更多相关图书推荐：https://www.jiaokey.com</w:t>
      </w:r>
    </w:p>
    <w:p>
      <w:r>
        <w:t>夏斌，洪崎执笔 其他作品：https://www.jiaokey.com/tag/夏斌，洪崎执笔.html</w:t>
      </w:r>
    </w:p>
    <w:p>
      <w:r>
        <w:t>中国人民银行金融研究所 出版图书：https://www.jiaokey.com/tag/中国人民银行金融研究所.html</w:t>
      </w:r>
    </w:p>
    <w:p>
      <w:r>
        <w:t>关键词搜索：https://www.jiaokey.com/tag/中国科技货款管理体制研究.html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