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国际贸易与投资  后冷战时代国际商务活动的法律环境</w:t>
      </w:r>
    </w:p>
    <w:p>
      <w:r>
        <w:rPr>
          <w:rFonts w:ascii="宋体" w:hAnsi="宋体" w:eastAsia="宋体"/>
          <w:sz w:val="24"/>
        </w:rPr>
        <w:t>（美）威廉·盖里·沃斯（W.Gary Vause）著；黄建武等译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国际贸易与投资  后冷战时代国际商务活动的法律环境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（美）威廉·盖里·沃斯（W.Gary Vause）著；黄建武等译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本书出售、求购地址：https://www.jiaokey.com/book/detail/10857545.html</w:t>
      </w:r>
    </w:p>
    <w:p>
      <w:r>
        <w:t>更多相关图书推荐：https://www.jiaokey.com</w:t>
      </w:r>
    </w:p>
    <w:p>
      <w:r>
        <w:t>（美）威廉·盖里·沃斯（W.Gary Vause）著；黄建武等译 其他作品：https://www.jiaokey.com/tag/（美）威廉·盖里·沃斯（W.Gary Vause）著；黄建武等译.html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关键词搜索：https://www.jiaokey.com/tag/国际贸易与投资  后冷战时代国际商务活动的法律环境.html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