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责任篇</w:t>
      </w:r>
    </w:p>
    <w:p>
      <w:r>
        <w:rPr>
          <w:rFonts w:ascii="宋体" w:hAnsi="宋体" w:eastAsia="宋体"/>
          <w:sz w:val="24"/>
        </w:rPr>
        <w:t>（美）吉马斯（Jemas，B.） 本迪斯（Bendis，B.M.）著；洪佩奇编；郭启新译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责任篇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（美）吉马斯（Jemas，B.） 本迪斯（Bendis，B.M.）著；洪佩奇编；郭启新译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本书出售、求购地址：https://www.jiaokey.com/book/detail/10855863.html</w:t>
      </w:r>
    </w:p>
    <w:p>
      <w:r>
        <w:t>更多相关图书推荐：https://www.jiaokey.com</w:t>
      </w:r>
    </w:p>
    <w:p>
      <w:r>
        <w:t>（美）吉马斯（Jemas，B.） 本迪斯（Bendis，B.M.）著；洪佩奇编；郭启新译 其他作品：https://www.jiaokey.com/tag/（美）吉马斯（Jemas，B.） 本迪斯（Bendis，B.M.）著；洪佩奇编；郭启新译.html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关键词搜索：https://www.jiaokey.com/tag/蜘蛛侠  责任篇.html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